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3" w:rsidRDefault="00A92E33" w:rsidP="00F8184F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                 </w:t>
      </w:r>
    </w:p>
    <w:p w:rsidR="00D17E0E" w:rsidRDefault="00D17E0E" w:rsidP="00D17E0E">
      <w:pPr>
        <w:rPr>
          <w:rFonts w:ascii="Cambria Math" w:hAnsi="Cambria Math"/>
          <w:b/>
          <w:sz w:val="44"/>
          <w:szCs w:val="44"/>
        </w:rPr>
      </w:pPr>
      <w:r w:rsidRPr="001118A5">
        <w:rPr>
          <w:rFonts w:ascii="Cambria Math" w:hAnsi="Cambria Math"/>
          <w:b/>
          <w:sz w:val="44"/>
          <w:szCs w:val="44"/>
        </w:rPr>
        <w:t xml:space="preserve">               </w:t>
      </w:r>
      <w:r>
        <w:rPr>
          <w:rFonts w:ascii="Cambria Math" w:hAnsi="Cambria Math"/>
          <w:b/>
          <w:sz w:val="44"/>
          <w:szCs w:val="44"/>
        </w:rPr>
        <w:t xml:space="preserve">   </w:t>
      </w:r>
      <w:r w:rsidRPr="001118A5">
        <w:rPr>
          <w:rFonts w:ascii="Cambria Math" w:hAnsi="Cambria Math"/>
          <w:b/>
          <w:sz w:val="44"/>
          <w:szCs w:val="44"/>
        </w:rPr>
        <w:t xml:space="preserve">   Oznámení o zveřejnění</w:t>
      </w:r>
    </w:p>
    <w:p w:rsidR="00D17E0E" w:rsidRDefault="00D17E0E" w:rsidP="00D17E0E">
      <w:pPr>
        <w:rPr>
          <w:rFonts w:ascii="Cambria Math" w:hAnsi="Cambria Math"/>
          <w:b/>
          <w:sz w:val="44"/>
          <w:szCs w:val="44"/>
        </w:rPr>
      </w:pPr>
      <w:r w:rsidRPr="001118A5">
        <w:rPr>
          <w:rFonts w:ascii="Cambria Math" w:hAnsi="Cambria Math"/>
          <w:b/>
          <w:sz w:val="44"/>
          <w:szCs w:val="44"/>
        </w:rPr>
        <w:t xml:space="preserve">               </w:t>
      </w:r>
      <w:r>
        <w:rPr>
          <w:rFonts w:ascii="Cambria Math" w:hAnsi="Cambria Math"/>
          <w:b/>
          <w:sz w:val="44"/>
          <w:szCs w:val="44"/>
        </w:rPr>
        <w:t xml:space="preserve">   </w:t>
      </w:r>
    </w:p>
    <w:p w:rsidR="00D17E0E" w:rsidRPr="00D17E0E" w:rsidRDefault="00D17E0E" w:rsidP="00D17E0E">
      <w:pPr>
        <w:rPr>
          <w:rFonts w:ascii="Arial" w:hAnsi="Arial" w:cs="Arial"/>
          <w:b/>
          <w:szCs w:val="24"/>
        </w:rPr>
      </w:pPr>
      <w:r w:rsidRPr="00D17E0E">
        <w:rPr>
          <w:rFonts w:ascii="Arial" w:hAnsi="Arial" w:cs="Arial"/>
          <w:b/>
          <w:szCs w:val="24"/>
        </w:rPr>
        <w:t>Zveřejňování podle zákona č. 250/</w:t>
      </w:r>
      <w:r>
        <w:rPr>
          <w:rFonts w:ascii="Arial" w:hAnsi="Arial" w:cs="Arial"/>
          <w:b/>
          <w:szCs w:val="24"/>
        </w:rPr>
        <w:t>2000 Sb., o rozpočtových pravidlech územních rozpočtů, v platném znění</w:t>
      </w:r>
    </w:p>
    <w:p w:rsidR="00D17E0E" w:rsidRPr="00D17E0E" w:rsidRDefault="00D17E0E" w:rsidP="00D17E0E">
      <w:pPr>
        <w:rPr>
          <w:rFonts w:ascii="Cambria Math" w:hAnsi="Cambria Math"/>
          <w:b/>
          <w:sz w:val="44"/>
          <w:szCs w:val="44"/>
        </w:rPr>
      </w:pPr>
    </w:p>
    <w:p w:rsidR="00D115B0" w:rsidRDefault="00D17E0E" w:rsidP="00D17E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Schválený r</w:t>
      </w:r>
      <w:r w:rsidRPr="001118A5">
        <w:rPr>
          <w:rFonts w:ascii="Arial" w:hAnsi="Arial" w:cs="Arial"/>
          <w:b/>
          <w:szCs w:val="24"/>
        </w:rPr>
        <w:t>ozpočet</w:t>
      </w:r>
      <w:r>
        <w:rPr>
          <w:rFonts w:ascii="Arial" w:hAnsi="Arial" w:cs="Arial"/>
          <w:b/>
          <w:szCs w:val="24"/>
        </w:rPr>
        <w:t xml:space="preserve"> obce Chudčice na </w:t>
      </w:r>
      <w:r w:rsidR="00D115B0">
        <w:rPr>
          <w:rFonts w:ascii="Arial" w:hAnsi="Arial" w:cs="Arial"/>
          <w:b/>
          <w:szCs w:val="24"/>
        </w:rPr>
        <w:t>rok 2017, schválený</w:t>
      </w:r>
      <w:r w:rsidR="00614848">
        <w:rPr>
          <w:rFonts w:ascii="Arial" w:hAnsi="Arial" w:cs="Arial"/>
          <w:b/>
          <w:szCs w:val="24"/>
        </w:rPr>
        <w:t xml:space="preserve"> střednědobý výhled rozpočtu </w:t>
      </w:r>
      <w:r w:rsidR="00D115B0">
        <w:rPr>
          <w:rFonts w:ascii="Arial" w:hAnsi="Arial" w:cs="Arial"/>
          <w:b/>
          <w:szCs w:val="24"/>
        </w:rPr>
        <w:t xml:space="preserve"> </w:t>
      </w:r>
      <w:r w:rsidR="00614848">
        <w:rPr>
          <w:rFonts w:ascii="Arial" w:hAnsi="Arial" w:cs="Arial"/>
          <w:b/>
          <w:szCs w:val="24"/>
        </w:rPr>
        <w:t>(</w:t>
      </w:r>
      <w:r w:rsidR="00D115B0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 xml:space="preserve">ozpočtový výhled </w:t>
      </w:r>
      <w:r w:rsidR="00614848"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b/>
          <w:szCs w:val="24"/>
        </w:rPr>
        <w:t>obce Chudčice na období 2017 – 2020, schválená rozpočtová opatření  roku 2017, schválený závěrečný účet</w:t>
      </w:r>
      <w:r w:rsidR="00D115B0">
        <w:rPr>
          <w:rFonts w:ascii="Arial" w:hAnsi="Arial" w:cs="Arial"/>
          <w:b/>
          <w:szCs w:val="24"/>
        </w:rPr>
        <w:t xml:space="preserve"> obce</w:t>
      </w:r>
      <w:r>
        <w:rPr>
          <w:rFonts w:ascii="Arial" w:hAnsi="Arial" w:cs="Arial"/>
          <w:b/>
          <w:szCs w:val="24"/>
        </w:rPr>
        <w:t xml:space="preserve"> za rok 2016</w:t>
      </w:r>
      <w:r w:rsidR="00D115B0">
        <w:rPr>
          <w:rFonts w:ascii="Arial" w:hAnsi="Arial" w:cs="Arial"/>
          <w:b/>
          <w:szCs w:val="24"/>
        </w:rPr>
        <w:t xml:space="preserve"> a rozpočtové provizorium na rok 2018</w:t>
      </w:r>
      <w:r>
        <w:rPr>
          <w:rFonts w:ascii="Arial" w:hAnsi="Arial" w:cs="Arial"/>
          <w:b/>
          <w:szCs w:val="24"/>
        </w:rPr>
        <w:t xml:space="preserve"> jsou</w:t>
      </w:r>
      <w:r w:rsidR="00D115B0">
        <w:rPr>
          <w:rFonts w:ascii="Arial" w:hAnsi="Arial" w:cs="Arial"/>
          <w:b/>
          <w:szCs w:val="24"/>
        </w:rPr>
        <w:t xml:space="preserve"> nebo budou zveřejněny na webových</w:t>
      </w:r>
      <w:r>
        <w:rPr>
          <w:rFonts w:ascii="Arial" w:hAnsi="Arial" w:cs="Arial"/>
          <w:b/>
          <w:szCs w:val="24"/>
        </w:rPr>
        <w:t xml:space="preserve"> stránkách obce Chudčice  na adrese :    </w:t>
      </w:r>
    </w:p>
    <w:p w:rsidR="00D17E0E" w:rsidRDefault="00D115B0" w:rsidP="00D17E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</w:t>
      </w:r>
      <w:r w:rsidR="00D17E0E">
        <w:rPr>
          <w:rFonts w:ascii="Arial" w:hAnsi="Arial" w:cs="Arial"/>
          <w:b/>
          <w:szCs w:val="24"/>
        </w:rPr>
        <w:t xml:space="preserve"> </w:t>
      </w:r>
      <w:hyperlink r:id="rId8" w:history="1">
        <w:r w:rsidR="004E5B1B" w:rsidRPr="007423A7">
          <w:rPr>
            <w:rStyle w:val="Hypertextovodkaz"/>
            <w:rFonts w:ascii="Arial" w:hAnsi="Arial" w:cs="Arial"/>
            <w:b/>
            <w:szCs w:val="24"/>
          </w:rPr>
          <w:t>www.chudcice.cz</w:t>
        </w:r>
      </w:hyperlink>
      <w:r w:rsidR="004E5B1B">
        <w:rPr>
          <w:rFonts w:ascii="Arial" w:hAnsi="Arial" w:cs="Arial"/>
          <w:b/>
          <w:szCs w:val="24"/>
        </w:rPr>
        <w:t xml:space="preserve"> (sekce obecní úřad/rozpočet obce)</w:t>
      </w:r>
      <w:bookmarkStart w:id="0" w:name="_GoBack"/>
      <w:bookmarkEnd w:id="0"/>
    </w:p>
    <w:p w:rsidR="00D17E0E" w:rsidRDefault="00D17E0E" w:rsidP="00D17E0E">
      <w:pPr>
        <w:rPr>
          <w:rFonts w:ascii="Arial" w:hAnsi="Arial" w:cs="Arial"/>
          <w:b/>
          <w:szCs w:val="24"/>
        </w:rPr>
      </w:pPr>
    </w:p>
    <w:p w:rsidR="00D17E0E" w:rsidRDefault="00D17E0E" w:rsidP="00D17E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listinné podoby výše uvedených dokumentů je možné nahlédnout v kanceláři Obecního úřadu v Chudčicích v úředních dnech.</w:t>
      </w:r>
    </w:p>
    <w:p w:rsidR="00D17E0E" w:rsidRDefault="00D17E0E" w:rsidP="00D17E0E">
      <w:pPr>
        <w:rPr>
          <w:rFonts w:ascii="Arial" w:hAnsi="Arial" w:cs="Arial"/>
          <w:b/>
          <w:szCs w:val="24"/>
        </w:rPr>
      </w:pPr>
    </w:p>
    <w:p w:rsidR="00D17E0E" w:rsidRDefault="00D17E0E" w:rsidP="00D17E0E">
      <w:pPr>
        <w:rPr>
          <w:rFonts w:ascii="Arial" w:hAnsi="Arial" w:cs="Arial"/>
          <w:b/>
          <w:szCs w:val="24"/>
        </w:rPr>
      </w:pPr>
    </w:p>
    <w:p w:rsidR="00A92E33" w:rsidRDefault="00A92E33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15B0" w:rsidRDefault="00D115B0">
      <w:pPr>
        <w:rPr>
          <w:szCs w:val="24"/>
        </w:rPr>
      </w:pPr>
    </w:p>
    <w:p w:rsidR="00D17E0E" w:rsidRDefault="00D17E0E">
      <w:pPr>
        <w:rPr>
          <w:szCs w:val="24"/>
        </w:rPr>
      </w:pPr>
    </w:p>
    <w:p w:rsidR="00D17E0E" w:rsidRDefault="00D17E0E">
      <w:pPr>
        <w:rPr>
          <w:szCs w:val="24"/>
        </w:rPr>
      </w:pPr>
      <w:r>
        <w:rPr>
          <w:szCs w:val="24"/>
        </w:rPr>
        <w:t>Vyvěšeno: 9. 5. 2017</w:t>
      </w:r>
    </w:p>
    <w:p w:rsidR="00D17E0E" w:rsidRPr="00A92E33" w:rsidRDefault="00D17E0E">
      <w:pPr>
        <w:rPr>
          <w:szCs w:val="24"/>
        </w:rPr>
      </w:pPr>
      <w:r>
        <w:rPr>
          <w:szCs w:val="24"/>
        </w:rPr>
        <w:t>Sňato:</w:t>
      </w:r>
    </w:p>
    <w:sectPr w:rsidR="00D17E0E" w:rsidRPr="00A92E33" w:rsidSect="007A22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02" w:rsidRDefault="00871D02" w:rsidP="00A96BC0">
      <w:pPr>
        <w:spacing w:line="240" w:lineRule="auto"/>
      </w:pPr>
      <w:r>
        <w:separator/>
      </w:r>
    </w:p>
  </w:endnote>
  <w:endnote w:type="continuationSeparator" w:id="0">
    <w:p w:rsidR="00871D02" w:rsidRDefault="00871D02" w:rsidP="00A9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12" w:type="dxa"/>
      <w:tblBorders>
        <w:top w:val="single" w:sz="8" w:space="0" w:color="3366FF"/>
      </w:tblBorders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992"/>
      <w:gridCol w:w="3128"/>
      <w:gridCol w:w="2880"/>
    </w:tblGrid>
    <w:tr w:rsidR="00A96BC0" w:rsidRPr="007C1BAE" w:rsidTr="002134FA">
      <w:trPr>
        <w:trHeight w:val="835"/>
      </w:trPr>
      <w:tc>
        <w:tcPr>
          <w:tcW w:w="2992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</w:pPr>
          <w:r w:rsidRPr="007C1BAE">
            <w:t>Telefon / fax / e-mail</w:t>
          </w:r>
        </w:p>
        <w:p w:rsidR="00A96BC0" w:rsidRPr="007C1BAE" w:rsidRDefault="00A96BC0" w:rsidP="002134FA">
          <w:pPr>
            <w:pStyle w:val="Styltabulky"/>
          </w:pPr>
          <w:r w:rsidRPr="007C1BAE">
            <w:t>+ 420 549 420 107  obecniurad@chudcice.cz</w:t>
          </w:r>
        </w:p>
      </w:tc>
      <w:tc>
        <w:tcPr>
          <w:tcW w:w="3128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>Bankovní spojení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Česká spořitelna a.s.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Veverská Bítýška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č.ú. 2023714339/0800</w:t>
          </w:r>
        </w:p>
      </w:tc>
      <w:tc>
        <w:tcPr>
          <w:tcW w:w="2880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 xml:space="preserve">                             IČO</w:t>
          </w:r>
        </w:p>
        <w:p w:rsidR="00A96BC0" w:rsidRPr="007C1BAE" w:rsidRDefault="00A96BC0" w:rsidP="002134FA">
          <w:pPr>
            <w:pStyle w:val="Styltabulky"/>
            <w:jc w:val="right"/>
          </w:pPr>
          <w:r w:rsidRPr="007C1BAE">
            <w:t>00362956</w:t>
          </w:r>
        </w:p>
      </w:tc>
    </w:tr>
  </w:tbl>
  <w:p w:rsidR="00A96BC0" w:rsidRDefault="00A96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02" w:rsidRDefault="00871D02" w:rsidP="00A96BC0">
      <w:pPr>
        <w:spacing w:line="240" w:lineRule="auto"/>
      </w:pPr>
      <w:r>
        <w:separator/>
      </w:r>
    </w:p>
  </w:footnote>
  <w:footnote w:type="continuationSeparator" w:id="0">
    <w:p w:rsidR="00871D02" w:rsidRDefault="00871D02" w:rsidP="00A96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3366FF"/>
      </w:tblBorders>
      <w:tblLook w:val="01E0" w:firstRow="1" w:lastRow="1" w:firstColumn="1" w:lastColumn="1" w:noHBand="0" w:noVBand="0"/>
    </w:tblPr>
    <w:tblGrid>
      <w:gridCol w:w="1368"/>
      <w:gridCol w:w="4773"/>
      <w:gridCol w:w="3071"/>
    </w:tblGrid>
    <w:tr w:rsidR="00A96BC0" w:rsidRPr="007C1BAE" w:rsidTr="00A96BC0">
      <w:tc>
        <w:tcPr>
          <w:tcW w:w="1368" w:type="dxa"/>
          <w:vMerge w:val="restart"/>
        </w:tcPr>
        <w:p w:rsidR="00A96BC0" w:rsidRDefault="00533152" w:rsidP="00A96BC0">
          <w:pPr>
            <w:pStyle w:val="Zhlav"/>
            <w:jc w:val="both"/>
          </w:pPr>
          <w:r>
            <w:drawing>
              <wp:inline distT="0" distB="0" distL="0" distR="0">
                <wp:extent cx="685800" cy="552450"/>
                <wp:effectExtent l="0" t="0" r="0" b="0"/>
                <wp:docPr id="1" name="obrázek 1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Merge w:val="restart"/>
        </w:tcPr>
        <w:p w:rsidR="00A96BC0" w:rsidRPr="007C1BAE" w:rsidRDefault="00A96BC0" w:rsidP="00A96BC0">
          <w:pPr>
            <w:pStyle w:val="Zhlav"/>
            <w:spacing w:before="300"/>
            <w:jc w:val="center"/>
            <w:rPr>
              <w:b/>
              <w:sz w:val="36"/>
              <w:szCs w:val="36"/>
            </w:rPr>
          </w:pPr>
          <w:r w:rsidRPr="007C1BAE">
            <w:rPr>
              <w:b/>
              <w:sz w:val="36"/>
              <w:szCs w:val="36"/>
            </w:rPr>
            <w:t>OBEC  CHUDČICE</w:t>
          </w: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Okres Brno-venkov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664 71 Veverská Bítýška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</w:p>
      </w:tc>
    </w:tr>
  </w:tbl>
  <w:p w:rsidR="00A96BC0" w:rsidRDefault="00A96BC0" w:rsidP="00A96BC0">
    <w:pPr>
      <w:pStyle w:val="Zhlav"/>
    </w:pPr>
  </w:p>
  <w:p w:rsidR="00A96BC0" w:rsidRDefault="00A96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2"/>
    <w:rsid w:val="0004723B"/>
    <w:rsid w:val="000C106A"/>
    <w:rsid w:val="001F6473"/>
    <w:rsid w:val="002134FA"/>
    <w:rsid w:val="002519E6"/>
    <w:rsid w:val="00366143"/>
    <w:rsid w:val="00485080"/>
    <w:rsid w:val="004E5B1B"/>
    <w:rsid w:val="00533152"/>
    <w:rsid w:val="005859DE"/>
    <w:rsid w:val="00614848"/>
    <w:rsid w:val="007A22CC"/>
    <w:rsid w:val="007C1BAE"/>
    <w:rsid w:val="00863C1B"/>
    <w:rsid w:val="00871D02"/>
    <w:rsid w:val="00874FF3"/>
    <w:rsid w:val="008F53A2"/>
    <w:rsid w:val="00A92E33"/>
    <w:rsid w:val="00A96BC0"/>
    <w:rsid w:val="00AD5EDA"/>
    <w:rsid w:val="00B70ECA"/>
    <w:rsid w:val="00BA0001"/>
    <w:rsid w:val="00C12D3A"/>
    <w:rsid w:val="00CA1984"/>
    <w:rsid w:val="00D115B0"/>
    <w:rsid w:val="00D17E0E"/>
    <w:rsid w:val="00D459C5"/>
    <w:rsid w:val="00DB609C"/>
    <w:rsid w:val="00F057E3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BC0"/>
    <w:pPr>
      <w:widowControl w:val="0"/>
      <w:spacing w:line="288" w:lineRule="auto"/>
    </w:pPr>
    <w:rPr>
      <w:rFonts w:ascii="Times New Roman" w:eastAsia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6BC0"/>
  </w:style>
  <w:style w:type="paragraph" w:styleId="Zpat">
    <w:name w:val="footer"/>
    <w:basedOn w:val="Normln"/>
    <w:link w:val="ZpatChar"/>
    <w:uiPriority w:val="99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BC0"/>
  </w:style>
  <w:style w:type="table" w:styleId="Mkatabulky">
    <w:name w:val="Table Grid"/>
    <w:basedOn w:val="Normlntabulka"/>
    <w:rsid w:val="00A96BC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BC0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A96BC0"/>
    <w:rPr>
      <w:sz w:val="20"/>
    </w:rPr>
  </w:style>
  <w:style w:type="character" w:styleId="Hypertextovodkaz">
    <w:name w:val="Hyperlink"/>
    <w:uiPriority w:val="99"/>
    <w:unhideWhenUsed/>
    <w:rsid w:val="00D17E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BC0"/>
    <w:pPr>
      <w:widowControl w:val="0"/>
      <w:spacing w:line="288" w:lineRule="auto"/>
    </w:pPr>
    <w:rPr>
      <w:rFonts w:ascii="Times New Roman" w:eastAsia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6BC0"/>
  </w:style>
  <w:style w:type="paragraph" w:styleId="Zpat">
    <w:name w:val="footer"/>
    <w:basedOn w:val="Normln"/>
    <w:link w:val="ZpatChar"/>
    <w:uiPriority w:val="99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BC0"/>
  </w:style>
  <w:style w:type="table" w:styleId="Mkatabulky">
    <w:name w:val="Table Grid"/>
    <w:basedOn w:val="Normlntabulka"/>
    <w:rsid w:val="00A96BC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BC0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A96BC0"/>
    <w:rPr>
      <w:sz w:val="20"/>
    </w:rPr>
  </w:style>
  <w:style w:type="character" w:styleId="Hypertextovodkaz">
    <w:name w:val="Hyperlink"/>
    <w:uiPriority w:val="99"/>
    <w:unhideWhenUsed/>
    <w:rsid w:val="00D17E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dc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cmanova\Documents\Havi&#269;kov&#253;%20pap&#237;r%20-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198E1F-9B33-45B5-A332-36D97E6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Havičkový papír -obec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Leicmanova</dc:creator>
  <cp:lastModifiedBy>Jandova</cp:lastModifiedBy>
  <cp:revision>2</cp:revision>
  <cp:lastPrinted>2017-05-09T11:27:00Z</cp:lastPrinted>
  <dcterms:created xsi:type="dcterms:W3CDTF">2018-08-30T09:51:00Z</dcterms:created>
  <dcterms:modified xsi:type="dcterms:W3CDTF">2018-08-30T09:51:00Z</dcterms:modified>
</cp:coreProperties>
</file>